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039300FB"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E33943">
        <w:rPr>
          <w:b/>
          <w:noProof/>
          <w:sz w:val="24"/>
          <w:szCs w:val="24"/>
          <w:lang w:val="en-US"/>
        </w:rPr>
        <w:t>3 Meeting #125</w:t>
      </w:r>
      <w:r w:rsidRPr="00264B7E">
        <w:rPr>
          <w:b/>
          <w:i/>
          <w:noProof/>
          <w:sz w:val="24"/>
          <w:szCs w:val="24"/>
          <w:lang w:val="en-US"/>
        </w:rPr>
        <w:tab/>
      </w:r>
      <w:r w:rsidR="00E33943">
        <w:rPr>
          <w:b/>
          <w:noProof/>
          <w:sz w:val="24"/>
          <w:szCs w:val="24"/>
          <w:lang w:val="en-US"/>
        </w:rPr>
        <w:t>R3</w:t>
      </w:r>
      <w:r w:rsidR="00702913" w:rsidRPr="00264B7E">
        <w:rPr>
          <w:b/>
          <w:noProof/>
          <w:sz w:val="24"/>
          <w:szCs w:val="24"/>
          <w:lang w:val="en-US"/>
        </w:rPr>
        <w:t>-</w:t>
      </w:r>
      <w:bookmarkStart w:id="1" w:name="_GoBack"/>
      <w:bookmarkEnd w:id="1"/>
      <w:r w:rsidR="00CF0192" w:rsidRPr="00CF0192">
        <w:rPr>
          <w:b/>
          <w:noProof/>
          <w:sz w:val="24"/>
          <w:szCs w:val="24"/>
          <w:lang w:val="en-US"/>
        </w:rPr>
        <w:t>244123</w:t>
      </w:r>
    </w:p>
    <w:p w14:paraId="1CD5986C" w14:textId="3B34813B" w:rsidR="00CF1EAE" w:rsidRPr="00264B7E" w:rsidRDefault="006A5FC1" w:rsidP="00CF1EAE">
      <w:pPr>
        <w:pStyle w:val="3GPPHeader"/>
        <w:rPr>
          <w:noProof/>
          <w:szCs w:val="24"/>
          <w:lang w:eastAsia="ko-KR"/>
        </w:rPr>
      </w:pPr>
      <w:r>
        <w:rPr>
          <w:noProof/>
          <w:szCs w:val="24"/>
          <w:lang w:eastAsia="ko-KR"/>
        </w:rPr>
        <w:t>Maastricht, NL</w:t>
      </w:r>
      <w:r w:rsidR="00702913" w:rsidRPr="00264B7E">
        <w:rPr>
          <w:noProof/>
          <w:szCs w:val="24"/>
          <w:lang w:eastAsia="ko-KR"/>
        </w:rPr>
        <w:t xml:space="preserve">, </w:t>
      </w:r>
      <w:r>
        <w:rPr>
          <w:noProof/>
          <w:szCs w:val="24"/>
          <w:lang w:eastAsia="ko-KR"/>
        </w:rPr>
        <w:t>August 19-23</w:t>
      </w:r>
      <w:r w:rsidR="00B55E00" w:rsidRPr="00264B7E">
        <w:rPr>
          <w:noProof/>
          <w:szCs w:val="24"/>
          <w:lang w:eastAsia="ko-KR"/>
        </w:rPr>
        <w:t>, 2024</w:t>
      </w:r>
    </w:p>
    <w:p w14:paraId="252563D4" w14:textId="77777777" w:rsidR="00E90E49" w:rsidRPr="00264B7E" w:rsidRDefault="00E90E49" w:rsidP="00357380">
      <w:pPr>
        <w:pStyle w:val="3GPPHeader"/>
      </w:pPr>
    </w:p>
    <w:p w14:paraId="267378A2" w14:textId="54CACB6D"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5B21F6">
        <w:rPr>
          <w:sz w:val="22"/>
          <w:szCs w:val="22"/>
        </w:rPr>
        <w:t>14.2</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25CC0AAC"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CF0192">
        <w:rPr>
          <w:sz w:val="22"/>
          <w:szCs w:val="22"/>
        </w:rPr>
        <w:t>Way forward</w:t>
      </w:r>
      <w:r w:rsidR="005B21F6">
        <w:rPr>
          <w:sz w:val="22"/>
          <w:szCs w:val="22"/>
        </w:rPr>
        <w:t xml:space="preserve"> </w:t>
      </w:r>
      <w:r w:rsidR="00CF0192">
        <w:rPr>
          <w:sz w:val="22"/>
          <w:szCs w:val="22"/>
        </w:rPr>
        <w:t>for</w:t>
      </w:r>
      <w:r w:rsidR="005B21F6">
        <w:rPr>
          <w:sz w:val="22"/>
          <w:szCs w:val="22"/>
        </w:rPr>
        <w:t xml:space="preserve"> MBS Broadcast intended service area</w:t>
      </w:r>
      <w:r w:rsidR="00CF0192">
        <w:rPr>
          <w:sz w:val="22"/>
          <w:szCs w:val="22"/>
        </w:rPr>
        <w:t xml:space="preserve"> discussion</w:t>
      </w:r>
    </w:p>
    <w:p w14:paraId="24C111CD" w14:textId="6F8F3112"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CF0192">
        <w:rPr>
          <w:sz w:val="22"/>
          <w:szCs w:val="22"/>
        </w:rPr>
        <w:t>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3764CB41" w14:textId="01524972" w:rsidR="00CD1096" w:rsidRPr="00264B7E" w:rsidRDefault="00CD1096" w:rsidP="00976D9B">
      <w:pPr>
        <w:pStyle w:val="BodyText"/>
      </w:pPr>
      <w:bookmarkStart w:id="2" w:name="_Ref178064866"/>
      <w:r w:rsidRPr="00264B7E">
        <w:t xml:space="preserve">The </w:t>
      </w:r>
      <w:r w:rsidR="00976D9B" w:rsidRPr="00264B7E">
        <w:t xml:space="preserve">approved </w:t>
      </w:r>
      <w:r w:rsidRPr="00264B7E">
        <w:t xml:space="preserve">work item </w:t>
      </w:r>
      <w:r w:rsidR="00600705" w:rsidRPr="00264B7E">
        <w:t xml:space="preserve">justifications and </w:t>
      </w:r>
      <w:r w:rsidR="00976D9B" w:rsidRPr="00264B7E">
        <w:t xml:space="preserve">objectives </w:t>
      </w:r>
      <w:r w:rsidRPr="00264B7E">
        <w:t xml:space="preserve">for NR NTN </w:t>
      </w:r>
      <w:r w:rsidR="00976D9B" w:rsidRPr="00264B7E">
        <w:t>Evolution in Rel-19</w:t>
      </w:r>
      <w:r w:rsidR="00547494">
        <w:t xml:space="preserve"> [1] emphasizes</w:t>
      </w:r>
      <w:r w:rsidR="00CC6D8A">
        <w:t>:</w:t>
      </w:r>
    </w:p>
    <w:tbl>
      <w:tblPr>
        <w:tblStyle w:val="TableGrid"/>
        <w:tblW w:w="0" w:type="auto"/>
        <w:tblLook w:val="04A0" w:firstRow="1" w:lastRow="0" w:firstColumn="1" w:lastColumn="0" w:noHBand="0" w:noVBand="1"/>
      </w:tblPr>
      <w:tblGrid>
        <w:gridCol w:w="9629"/>
      </w:tblGrid>
      <w:tr w:rsidR="00976D9B" w:rsidRPr="00264B7E" w14:paraId="3A93D382" w14:textId="77777777" w:rsidTr="00976D9B">
        <w:tc>
          <w:tcPr>
            <w:tcW w:w="9629" w:type="dxa"/>
          </w:tcPr>
          <w:p w14:paraId="30C7A9AD" w14:textId="77777777" w:rsidR="004C6842" w:rsidRPr="00264B7E" w:rsidRDefault="004C6842" w:rsidP="004C6842">
            <w:pPr>
              <w:spacing w:after="0"/>
              <w:rPr>
                <w:bCs/>
              </w:rPr>
            </w:pPr>
          </w:p>
          <w:p w14:paraId="76C5283D" w14:textId="16BC8723" w:rsidR="004C6842" w:rsidRPr="00264B7E" w:rsidRDefault="004C6842" w:rsidP="004C6842">
            <w:pPr>
              <w:spacing w:after="0"/>
              <w:jc w:val="left"/>
              <w:rPr>
                <w:rFonts w:eastAsia="Times New Roman"/>
                <w:sz w:val="20"/>
                <w:szCs w:val="20"/>
                <w:lang w:eastAsia="zh-CN"/>
              </w:rPr>
            </w:pPr>
            <w:r w:rsidRPr="00264B7E">
              <w:rPr>
                <w:rFonts w:eastAsia="Times New Roman"/>
                <w:sz w:val="20"/>
                <w:szCs w:val="20"/>
                <w:lang w:eastAsia="zh-CN"/>
              </w:rPr>
              <w:t xml:space="preserve">3) MBS feature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w:t>
            </w:r>
            <w:proofErr w:type="spellStart"/>
            <w:r w:rsidRPr="00264B7E">
              <w:rPr>
                <w:rFonts w:eastAsia="Times New Roman"/>
                <w:sz w:val="20"/>
                <w:szCs w:val="20"/>
                <w:lang w:eastAsia="zh-CN"/>
              </w:rPr>
              <w:t>Uu</w:t>
            </w:r>
            <w:proofErr w:type="spellEnd"/>
            <w:r w:rsidRPr="00264B7E">
              <w:rPr>
                <w:rFonts w:eastAsia="Times New Roman"/>
                <w:sz w:val="20"/>
                <w:szCs w:val="20"/>
                <w:lang w:eastAsia="zh-CN"/>
              </w:rPr>
              <w:t xml:space="preserve"> cell, some </w:t>
            </w:r>
            <w:r w:rsidRPr="00264B7E">
              <w:rPr>
                <w:rFonts w:eastAsia="Times New Roman"/>
                <w:sz w:val="20"/>
                <w:szCs w:val="20"/>
                <w:highlight w:val="yellow"/>
                <w:lang w:eastAsia="zh-CN"/>
              </w:rPr>
              <w:t>enhancements need to be done to notify the service area of a Broadcast service</w:t>
            </w:r>
            <w:r w:rsidRPr="00264B7E">
              <w:rPr>
                <w:rFonts w:eastAsia="Times New Roman"/>
                <w:sz w:val="20"/>
                <w:szCs w:val="20"/>
                <w:lang w:eastAsia="zh-CN"/>
              </w:rPr>
              <w:t>.</w:t>
            </w:r>
          </w:p>
          <w:p w14:paraId="09AFDBE7" w14:textId="459CF09E" w:rsidR="00976D9B" w:rsidRPr="00264B7E"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264B7E" w:rsidRDefault="00976D9B" w:rsidP="00976D9B">
      <w:pPr>
        <w:pStyle w:val="BodyText"/>
      </w:pPr>
    </w:p>
    <w:tbl>
      <w:tblPr>
        <w:tblStyle w:val="TableGrid"/>
        <w:tblW w:w="0" w:type="auto"/>
        <w:tblLook w:val="04A0" w:firstRow="1" w:lastRow="0" w:firstColumn="1" w:lastColumn="0" w:noHBand="0" w:noVBand="1"/>
      </w:tblPr>
      <w:tblGrid>
        <w:gridCol w:w="9629"/>
      </w:tblGrid>
      <w:tr w:rsidR="00600705" w:rsidRPr="00264B7E" w14:paraId="4051DC37" w14:textId="77777777" w:rsidTr="00600705">
        <w:tc>
          <w:tcPr>
            <w:tcW w:w="9629" w:type="dxa"/>
          </w:tcPr>
          <w:p w14:paraId="163E756B" w14:textId="77777777" w:rsidR="00600705" w:rsidRPr="00264B7E" w:rsidRDefault="00600705" w:rsidP="00600705">
            <w:pPr>
              <w:numPr>
                <w:ilvl w:val="0"/>
                <w:numId w:val="33"/>
              </w:numPr>
              <w:spacing w:after="0" w:line="276" w:lineRule="auto"/>
              <w:jc w:val="left"/>
              <w:rPr>
                <w:rFonts w:eastAsia="Times New Roman"/>
                <w:sz w:val="20"/>
                <w:szCs w:val="20"/>
                <w:lang w:eastAsia="zh-CN"/>
              </w:rPr>
            </w:pPr>
            <w:r w:rsidRPr="00264B7E">
              <w:rPr>
                <w:rFonts w:eastAsia="Times New Roman"/>
                <w:sz w:val="20"/>
                <w:szCs w:val="20"/>
                <w:lang w:eastAsia="zh-CN"/>
              </w:rPr>
              <w:t>Specify signaling of the intended service area of a broadcast service (e.g. MBS broadcast) via NR NTN [RAN2, RAN3]</w:t>
            </w:r>
          </w:p>
          <w:p w14:paraId="752B4D3B"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5B21F6">
              <w:rPr>
                <w:rFonts w:ascii="Arial" w:eastAsia="Times New Roman" w:hAnsi="Arial"/>
                <w:sz w:val="20"/>
                <w:szCs w:val="20"/>
                <w:lang w:val="en-US" w:eastAsia="zh-CN"/>
              </w:rPr>
              <w:t>Specify SIB signaling to indicate the intended service area in case the satellite footprint covers a larger area</w:t>
            </w:r>
            <w:r w:rsidRPr="00264B7E">
              <w:rPr>
                <w:rFonts w:ascii="Arial" w:eastAsia="Times New Roman" w:hAnsi="Arial"/>
                <w:sz w:val="20"/>
                <w:szCs w:val="20"/>
                <w:lang w:val="en-US" w:eastAsia="zh-CN"/>
              </w:rPr>
              <w:t>. [RAN2]</w:t>
            </w:r>
          </w:p>
          <w:p w14:paraId="193EB597" w14:textId="77777777" w:rsidR="00600705" w:rsidRPr="00264B7E" w:rsidRDefault="00600705" w:rsidP="00600705">
            <w:pPr>
              <w:pStyle w:val="ListParagraph"/>
              <w:widowControl w:val="0"/>
              <w:numPr>
                <w:ilvl w:val="0"/>
                <w:numId w:val="34"/>
              </w:numPr>
              <w:overflowPunct/>
              <w:autoSpaceDE/>
              <w:autoSpaceDN/>
              <w:adjustRightInd/>
              <w:spacing w:line="276" w:lineRule="auto"/>
              <w:ind w:hanging="357"/>
              <w:contextualSpacing/>
              <w:textAlignment w:val="auto"/>
              <w:rPr>
                <w:rFonts w:ascii="Arial" w:eastAsia="Times New Roman" w:hAnsi="Arial"/>
                <w:sz w:val="20"/>
                <w:szCs w:val="20"/>
                <w:lang w:val="en-US" w:eastAsia="zh-CN"/>
              </w:rPr>
            </w:pPr>
            <w:r w:rsidRPr="005B21F6">
              <w:rPr>
                <w:rFonts w:ascii="Arial" w:eastAsia="Times New Roman" w:hAnsi="Arial"/>
                <w:sz w:val="20"/>
                <w:szCs w:val="20"/>
                <w:highlight w:val="yellow"/>
                <w:lang w:val="en-US" w:eastAsia="zh-CN"/>
              </w:rPr>
              <w:t>Specify the necessary signaling between CN and NG-RAN</w:t>
            </w:r>
            <w:r w:rsidRPr="00264B7E">
              <w:rPr>
                <w:rFonts w:ascii="Arial" w:eastAsia="Times New Roman" w:hAnsi="Arial"/>
                <w:sz w:val="20"/>
                <w:szCs w:val="20"/>
                <w:lang w:val="en-US" w:eastAsia="zh-CN"/>
              </w:rPr>
              <w:t>. [RAN3]</w:t>
            </w:r>
          </w:p>
          <w:p w14:paraId="1D6B8173" w14:textId="77777777" w:rsidR="00600705" w:rsidRPr="00264B7E" w:rsidRDefault="00600705" w:rsidP="00976D9B">
            <w:pPr>
              <w:pStyle w:val="BodyText"/>
            </w:pPr>
          </w:p>
        </w:tc>
      </w:tr>
    </w:tbl>
    <w:p w14:paraId="52F4E0A2" w14:textId="77777777" w:rsidR="00976D9B" w:rsidRPr="00264B7E" w:rsidRDefault="00976D9B" w:rsidP="00976D9B">
      <w:pPr>
        <w:pStyle w:val="BodyText"/>
      </w:pPr>
    </w:p>
    <w:p w14:paraId="38F91EE2" w14:textId="366BF9A1" w:rsidR="00976D9B" w:rsidRPr="00264B7E" w:rsidRDefault="0037172B" w:rsidP="00976D9B">
      <w:pPr>
        <w:pStyle w:val="BodyText"/>
      </w:pPr>
      <w:r w:rsidRPr="00264B7E">
        <w:t>In this paper, we</w:t>
      </w:r>
      <w:r w:rsidR="00344E85">
        <w:t xml:space="preserve"> propose to wait for RAN2 conclusions before discussion the necessary signaling between CN and NG-RAN in RAN3.</w:t>
      </w:r>
    </w:p>
    <w:p w14:paraId="5BC527A0" w14:textId="2DFF1C71" w:rsidR="00344E85" w:rsidRPr="00344E85" w:rsidRDefault="00230D18" w:rsidP="00344E85">
      <w:pPr>
        <w:pStyle w:val="Heading1"/>
        <w:rPr>
          <w:lang w:val="en-US"/>
        </w:rPr>
      </w:pPr>
      <w:r w:rsidRPr="00264B7E">
        <w:rPr>
          <w:lang w:val="en-US"/>
        </w:rPr>
        <w:t>2</w:t>
      </w:r>
      <w:r w:rsidRPr="00264B7E">
        <w:rPr>
          <w:lang w:val="en-US"/>
        </w:rPr>
        <w:tab/>
      </w:r>
      <w:r w:rsidR="004000E8" w:rsidRPr="00264B7E">
        <w:rPr>
          <w:lang w:val="en-US"/>
        </w:rPr>
        <w:t>Discussion</w:t>
      </w:r>
      <w:bookmarkEnd w:id="2"/>
    </w:p>
    <w:p w14:paraId="0ECB0A94" w14:textId="77777777" w:rsidR="00924B33" w:rsidRPr="00264B7E" w:rsidRDefault="00924B33" w:rsidP="00924B33">
      <w:pPr>
        <w:rPr>
          <w:b/>
          <w:u w:val="single"/>
        </w:rPr>
      </w:pPr>
      <w:r w:rsidRPr="00264B7E">
        <w:rPr>
          <w:b/>
          <w:u w:val="single"/>
        </w:rPr>
        <w:t>Geographical Area</w:t>
      </w:r>
    </w:p>
    <w:p w14:paraId="7F204DCF" w14:textId="4CDB5738" w:rsidR="00344E85" w:rsidRDefault="00344E85" w:rsidP="00344E85">
      <w:r>
        <w:t>The Working Assumption taken at the RAN3#124 is that “the mapped cell ID can be used to define MBS broadcast”. The mapped Cell ID</w:t>
      </w:r>
      <w:r w:rsidR="00F94B91">
        <w:t xml:space="preserve">s are built by the </w:t>
      </w:r>
      <w:proofErr w:type="spellStart"/>
      <w:r w:rsidR="00F94B91">
        <w:t>gNB</w:t>
      </w:r>
      <w:proofErr w:type="spellEnd"/>
      <w:r w:rsidR="00F94B91">
        <w:t xml:space="preserve"> and are transparent to the UE. The UE only knows the Physical Cell ID that could be different (and all the time different in the case of Earth-Moving Cell). In the implementation, mapped Cell ID are expected to be used to have a fixed geographical grid on Earth, for tracking area for instance. The mapping between Mapped cell ID and geographical areas are configured in the RAN and Core Network.</w:t>
      </w:r>
    </w:p>
    <w:p w14:paraId="15ADD9A3" w14:textId="2961A9D4" w:rsidR="00F94B91" w:rsidRDefault="00F94B91" w:rsidP="00344E85">
      <w:r>
        <w:t xml:space="preserve">If we go for mapped cell ID to indicate the intended service area, it means the geographical areas indicated by the MBS broadcast service provider will be converted into a list of mapped cell ID at the 5GC and distributed to the concerned </w:t>
      </w:r>
      <w:proofErr w:type="spellStart"/>
      <w:r>
        <w:t>gNB</w:t>
      </w:r>
      <w:proofErr w:type="spellEnd"/>
      <w:r>
        <w:t xml:space="preserve">/satellites. The </w:t>
      </w:r>
      <w:proofErr w:type="spellStart"/>
      <w:r>
        <w:t>gNB</w:t>
      </w:r>
      <w:proofErr w:type="spellEnd"/>
      <w:r>
        <w:t xml:space="preserve"> will convert the mapped cell ID</w:t>
      </w:r>
      <w:r w:rsidR="00DF135E">
        <w:t xml:space="preserve"> (since the UE does not have the information of the mapped cell ID it is camping on)</w:t>
      </w:r>
      <w:r>
        <w:t xml:space="preserve"> into geographical information (associated to a MBS session ID)</w:t>
      </w:r>
      <w:r w:rsidR="00DF135E">
        <w:t xml:space="preserve"> to be broadcasted into concerned cells. One problem here is that many mapped Cell ID could be related to a single MBS session ID if the cell is larger than a physical cell (with an impact on SI message TBS).</w:t>
      </w:r>
    </w:p>
    <w:p w14:paraId="0CAAD884" w14:textId="44CFFDCE" w:rsidR="00922C5A" w:rsidRDefault="00DF135E" w:rsidP="00344E85">
      <w:r>
        <w:t xml:space="preserve">On another solution uses a dedicated geographical area that is transmitted from the MBS broadcast service provider to the RAN. Maybe with a conversion stage to a proper IE and a filtering to avoid transmission of the information to </w:t>
      </w:r>
      <w:proofErr w:type="spellStart"/>
      <w:r>
        <w:t>gNB</w:t>
      </w:r>
      <w:proofErr w:type="spellEnd"/>
      <w:r>
        <w:t xml:space="preserve"> that does not serve the geographical area. T</w:t>
      </w:r>
      <w:r w:rsidR="00922C5A">
        <w:t xml:space="preserve">he </w:t>
      </w:r>
      <w:proofErr w:type="spellStart"/>
      <w:r w:rsidR="00922C5A">
        <w:t>gNB</w:t>
      </w:r>
      <w:proofErr w:type="spellEnd"/>
      <w:r w:rsidR="00922C5A">
        <w:t xml:space="preserve"> is then responsible to transmit the </w:t>
      </w:r>
      <w:r w:rsidR="00922C5A">
        <w:lastRenderedPageBreak/>
        <w:t>intended geographical service area to the concerned physical cells. The UE that wants to access to a MBS broadcast gets the System Information (defined by the RAN2) and determines to which services it is intending to access according to its location and the geographical area associated to a MBS session ID. RAN will not define the means for the network to prevent the reception of the content of the service outside of the intended service area.</w:t>
      </w:r>
    </w:p>
    <w:p w14:paraId="7A489A67" w14:textId="72B89179" w:rsidR="00922C5A" w:rsidRPr="00344E85" w:rsidRDefault="00922C5A" w:rsidP="00922C5A">
      <w:pPr>
        <w:pStyle w:val="Proposal"/>
      </w:pPr>
      <w:r>
        <w:t>RAN3 waits for RAN2 conclusions on geographical area formats to model service are</w:t>
      </w:r>
      <w:r w:rsidR="00D90272">
        <w:t>a to discuss the necessary signaling between the CN and the NG-RAN node</w:t>
      </w:r>
    </w:p>
    <w:p w14:paraId="2F7446E0" w14:textId="77777777" w:rsidR="00344E85" w:rsidRDefault="00344E85" w:rsidP="00344E85">
      <w:pPr>
        <w:pStyle w:val="Proposal"/>
        <w:numPr>
          <w:ilvl w:val="0"/>
          <w:numId w:val="0"/>
        </w:numPr>
        <w:ind w:left="1304" w:hanging="1304"/>
      </w:pPr>
    </w:p>
    <w:p w14:paraId="08E2BB8F" w14:textId="77777777" w:rsidR="00A851E6" w:rsidRPr="00264B7E" w:rsidRDefault="00A851E6" w:rsidP="009C701A"/>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785254E6" w:rsidR="008E065E" w:rsidRDefault="008E065E" w:rsidP="008E065E">
      <w:pPr>
        <w:pStyle w:val="BodyText"/>
        <w:rPr>
          <w:b/>
          <w:bCs/>
        </w:rPr>
      </w:pPr>
      <w:r w:rsidRPr="00264B7E">
        <w:t xml:space="preserve">In </w:t>
      </w:r>
      <w:r w:rsidR="007729A2" w:rsidRPr="00264B7E">
        <w:t xml:space="preserve">the previous </w:t>
      </w:r>
      <w:r w:rsidRPr="00264B7E">
        <w:t>section</w:t>
      </w:r>
      <w:r w:rsidR="007729A2" w:rsidRPr="00264B7E">
        <w:t>s</w:t>
      </w:r>
      <w:r w:rsidRPr="00264B7E">
        <w:t xml:space="preserve"> we</w:t>
      </w:r>
      <w:r w:rsidR="002A774E">
        <w:t xml:space="preserve"> made the following proposal</w:t>
      </w:r>
      <w:r w:rsidRPr="00264B7E">
        <w:t>:</w:t>
      </w:r>
    </w:p>
    <w:p w14:paraId="48B27773" w14:textId="009C7A12" w:rsidR="008E065E" w:rsidRDefault="00924B33" w:rsidP="00BE0960">
      <w:pPr>
        <w:pStyle w:val="BodyText"/>
        <w:rPr>
          <w:bCs/>
          <w:i/>
        </w:rPr>
      </w:pPr>
      <w:r>
        <w:rPr>
          <w:bCs/>
          <w:i/>
        </w:rPr>
        <w:t>&lt;Geographical Area&gt;</w:t>
      </w:r>
    </w:p>
    <w:p w14:paraId="75CEDC65" w14:textId="77777777" w:rsidR="002A774E" w:rsidRPr="00344E85" w:rsidRDefault="002A774E" w:rsidP="002A774E">
      <w:pPr>
        <w:pStyle w:val="Proposal"/>
        <w:numPr>
          <w:ilvl w:val="0"/>
          <w:numId w:val="42"/>
        </w:numPr>
      </w:pPr>
      <w:r>
        <w:t>RAN3 waits for RAN2 conclusions on geographical area formats to model service area to discuss the necessary signaling between the CN and the NG-RAN node</w:t>
      </w:r>
    </w:p>
    <w:p w14:paraId="019D623B" w14:textId="77777777" w:rsidR="008E065E" w:rsidRPr="00264B7E" w:rsidRDefault="008E065E" w:rsidP="008E065E">
      <w:pPr>
        <w:rPr>
          <w:b/>
          <w:bCs/>
        </w:r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3F3A7003" w14:textId="65A4F711" w:rsidR="00F904D2" w:rsidRPr="00264B7E" w:rsidRDefault="002F0C4A" w:rsidP="002F0C4A">
      <w:pPr>
        <w:pStyle w:val="Reference"/>
      </w:pPr>
      <w:bookmarkStart w:id="4" w:name="_Ref174151459"/>
      <w:bookmarkStart w:id="5" w:name="_Ref189809556"/>
      <w:r w:rsidRPr="00264B7E">
        <w:t>R</w:t>
      </w:r>
      <w:r>
        <w:t>P-241667</w:t>
      </w:r>
      <w:r w:rsidRPr="00264B7E">
        <w:t xml:space="preserve">, </w:t>
      </w:r>
      <w:r>
        <w:t>Revised</w:t>
      </w:r>
      <w:r w:rsidRPr="00264B7E">
        <w:t xml:space="preserve"> WID: Non-Terrestrial Networks (NTN) for NR Phase 3, </w:t>
      </w:r>
      <w:r>
        <w:t>RAN1 Vice-Chair, RAN#104, 2024-06</w:t>
      </w:r>
      <w:r w:rsidRPr="00264B7E">
        <w:t xml:space="preserve">, </w:t>
      </w:r>
      <w:r>
        <w:t xml:space="preserve">Shanghai, </w:t>
      </w:r>
      <w:proofErr w:type="gramStart"/>
      <w:r>
        <w:t>CN</w:t>
      </w:r>
      <w:proofErr w:type="gramEnd"/>
      <w:r w:rsidRPr="00264B7E">
        <w:t>.</w:t>
      </w:r>
      <w:bookmarkEnd w:id="4"/>
      <w:bookmarkEnd w:id="5"/>
    </w:p>
    <w:sectPr w:rsidR="00F904D2" w:rsidRPr="00264B7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7A0E0" w14:textId="77777777" w:rsidR="006732B2" w:rsidRDefault="006732B2">
      <w:r>
        <w:separator/>
      </w:r>
    </w:p>
  </w:endnote>
  <w:endnote w:type="continuationSeparator" w:id="0">
    <w:p w14:paraId="760944F7" w14:textId="77777777" w:rsidR="006732B2" w:rsidRDefault="006732B2">
      <w:r>
        <w:continuationSeparator/>
      </w:r>
    </w:p>
  </w:endnote>
  <w:endnote w:type="continuationNotice" w:id="1">
    <w:p w14:paraId="29E35697" w14:textId="77777777" w:rsidR="006732B2" w:rsidRDefault="00673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6526724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42D4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D4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1F297" w14:textId="77777777" w:rsidR="006732B2" w:rsidRDefault="006732B2">
      <w:r>
        <w:separator/>
      </w:r>
    </w:p>
  </w:footnote>
  <w:footnote w:type="continuationSeparator" w:id="0">
    <w:p w14:paraId="14CF6463" w14:textId="77777777" w:rsidR="006732B2" w:rsidRDefault="006732B2">
      <w:r>
        <w:continuationSeparator/>
      </w:r>
    </w:p>
  </w:footnote>
  <w:footnote w:type="continuationNotice" w:id="1">
    <w:p w14:paraId="1D57049C" w14:textId="77777777" w:rsidR="006732B2" w:rsidRDefault="006732B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BDB07E96"/>
    <w:lvl w:ilvl="0" w:tplc="A7D2A7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3"/>
  </w:num>
  <w:num w:numId="3">
    <w:abstractNumId w:val="18"/>
  </w:num>
  <w:num w:numId="4">
    <w:abstractNumId w:val="20"/>
  </w:num>
  <w:num w:numId="5">
    <w:abstractNumId w:val="15"/>
  </w:num>
  <w:num w:numId="6">
    <w:abstractNumId w:val="22"/>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9"/>
  </w:num>
  <w:num w:numId="18">
    <w:abstractNumId w:val="10"/>
  </w:num>
  <w:num w:numId="19">
    <w:abstractNumId w:val="6"/>
  </w:num>
  <w:num w:numId="20">
    <w:abstractNumId w:val="31"/>
  </w:num>
  <w:num w:numId="21">
    <w:abstractNumId w:val="17"/>
  </w:num>
  <w:num w:numId="22">
    <w:abstractNumId w:val="3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8"/>
  </w:num>
  <w:num w:numId="26">
    <w:abstractNumId w:val="11"/>
  </w:num>
  <w:num w:numId="27">
    <w:abstractNumId w:val="14"/>
  </w:num>
  <w:num w:numId="28">
    <w:abstractNumId w:val="7"/>
  </w:num>
  <w:num w:numId="29">
    <w:abstractNumId w:val="5"/>
  </w:num>
  <w:num w:numId="30">
    <w:abstractNumId w:val="19"/>
  </w:num>
  <w:num w:numId="31">
    <w:abstractNumId w:val="8"/>
  </w:num>
  <w:num w:numId="32">
    <w:abstractNumId w:val="33"/>
  </w:num>
  <w:num w:numId="33">
    <w:abstractNumId w:val="32"/>
  </w:num>
  <w:num w:numId="34">
    <w:abstractNumId w:val="13"/>
  </w:num>
  <w:num w:numId="35">
    <w:abstractNumId w:val="25"/>
    <w:lvlOverride w:ilvl="0">
      <w:startOverride w:val="1"/>
    </w:lvlOverride>
  </w:num>
  <w:num w:numId="36">
    <w:abstractNumId w:val="18"/>
    <w:lvlOverride w:ilvl="0">
      <w:startOverride w:val="1"/>
    </w:lvlOverride>
  </w:num>
  <w:num w:numId="37">
    <w:abstractNumId w:val="18"/>
  </w:num>
  <w:num w:numId="38">
    <w:abstractNumId w:val="18"/>
    <w:lvlOverride w:ilvl="0">
      <w:startOverride w:val="1"/>
    </w:lvlOverride>
  </w:num>
  <w:num w:numId="39">
    <w:abstractNumId w:val="18"/>
  </w:num>
  <w:num w:numId="40">
    <w:abstractNumId w:val="25"/>
    <w:lvlOverride w:ilvl="0">
      <w:startOverride w:val="1"/>
    </w:lvlOverride>
  </w:num>
  <w:num w:numId="41">
    <w:abstractNumId w:val="18"/>
    <w:lvlOverride w:ilvl="0">
      <w:startOverride w:val="1"/>
    </w:lvlOverride>
  </w:num>
  <w:num w:numId="42">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1668"/>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6173"/>
    <w:rsid w:val="001A6CBA"/>
    <w:rsid w:val="001B0D97"/>
    <w:rsid w:val="001B5A5D"/>
    <w:rsid w:val="001C1CE5"/>
    <w:rsid w:val="001C3D2A"/>
    <w:rsid w:val="001C5CB8"/>
    <w:rsid w:val="001D51BA"/>
    <w:rsid w:val="001D53E7"/>
    <w:rsid w:val="001D6342"/>
    <w:rsid w:val="001D6C45"/>
    <w:rsid w:val="001D6D53"/>
    <w:rsid w:val="001E58E2"/>
    <w:rsid w:val="001E7AED"/>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A82"/>
    <w:rsid w:val="00292EB7"/>
    <w:rsid w:val="0029504F"/>
    <w:rsid w:val="00296227"/>
    <w:rsid w:val="00296F44"/>
    <w:rsid w:val="0029777D"/>
    <w:rsid w:val="00297C72"/>
    <w:rsid w:val="002A055E"/>
    <w:rsid w:val="002A1D4E"/>
    <w:rsid w:val="002A2869"/>
    <w:rsid w:val="002A774E"/>
    <w:rsid w:val="002B24D6"/>
    <w:rsid w:val="002B3379"/>
    <w:rsid w:val="002B37A2"/>
    <w:rsid w:val="002C41E6"/>
    <w:rsid w:val="002D071A"/>
    <w:rsid w:val="002D34B2"/>
    <w:rsid w:val="002D48B0"/>
    <w:rsid w:val="002D5B37"/>
    <w:rsid w:val="002D7637"/>
    <w:rsid w:val="002E17F2"/>
    <w:rsid w:val="002E7CAE"/>
    <w:rsid w:val="002F0C4A"/>
    <w:rsid w:val="002F2771"/>
    <w:rsid w:val="002F37A9"/>
    <w:rsid w:val="00301CE6"/>
    <w:rsid w:val="0030256B"/>
    <w:rsid w:val="0030501F"/>
    <w:rsid w:val="00305C4E"/>
    <w:rsid w:val="00307BA1"/>
    <w:rsid w:val="00311702"/>
    <w:rsid w:val="00311E82"/>
    <w:rsid w:val="00313FD6"/>
    <w:rsid w:val="003143BD"/>
    <w:rsid w:val="00315363"/>
    <w:rsid w:val="003173F5"/>
    <w:rsid w:val="003203ED"/>
    <w:rsid w:val="00322C9F"/>
    <w:rsid w:val="00324D23"/>
    <w:rsid w:val="003267B7"/>
    <w:rsid w:val="0033090B"/>
    <w:rsid w:val="00331751"/>
    <w:rsid w:val="00334066"/>
    <w:rsid w:val="00334579"/>
    <w:rsid w:val="00335858"/>
    <w:rsid w:val="00336BDA"/>
    <w:rsid w:val="00340023"/>
    <w:rsid w:val="00342BD7"/>
    <w:rsid w:val="00344E85"/>
    <w:rsid w:val="00346DB5"/>
    <w:rsid w:val="003477B1"/>
    <w:rsid w:val="00355902"/>
    <w:rsid w:val="00357380"/>
    <w:rsid w:val="003602D9"/>
    <w:rsid w:val="003604CE"/>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7447"/>
    <w:rsid w:val="00441A92"/>
    <w:rsid w:val="004431DC"/>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82004"/>
    <w:rsid w:val="00485B4C"/>
    <w:rsid w:val="00492BC5"/>
    <w:rsid w:val="004964F1"/>
    <w:rsid w:val="004A16BC"/>
    <w:rsid w:val="004A2B94"/>
    <w:rsid w:val="004A4B33"/>
    <w:rsid w:val="004B1D5E"/>
    <w:rsid w:val="004B2559"/>
    <w:rsid w:val="004B49EF"/>
    <w:rsid w:val="004B6F6A"/>
    <w:rsid w:val="004B7C0C"/>
    <w:rsid w:val="004C1151"/>
    <w:rsid w:val="004C3898"/>
    <w:rsid w:val="004C6842"/>
    <w:rsid w:val="004D36B1"/>
    <w:rsid w:val="004D7EBD"/>
    <w:rsid w:val="004E2680"/>
    <w:rsid w:val="004E28F9"/>
    <w:rsid w:val="004E462E"/>
    <w:rsid w:val="004E56DC"/>
    <w:rsid w:val="004E76F4"/>
    <w:rsid w:val="004F0B4E"/>
    <w:rsid w:val="004F0B6C"/>
    <w:rsid w:val="004F2078"/>
    <w:rsid w:val="004F4DA3"/>
    <w:rsid w:val="00506557"/>
    <w:rsid w:val="0050677A"/>
    <w:rsid w:val="0050778A"/>
    <w:rsid w:val="005108D8"/>
    <w:rsid w:val="005116F9"/>
    <w:rsid w:val="005153A7"/>
    <w:rsid w:val="005219CF"/>
    <w:rsid w:val="00523E8F"/>
    <w:rsid w:val="00526F7F"/>
    <w:rsid w:val="005302DC"/>
    <w:rsid w:val="005338C5"/>
    <w:rsid w:val="00534B59"/>
    <w:rsid w:val="0053662A"/>
    <w:rsid w:val="00536759"/>
    <w:rsid w:val="00537C62"/>
    <w:rsid w:val="005442EF"/>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21F6"/>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34A6"/>
    <w:rsid w:val="00627A83"/>
    <w:rsid w:val="00630001"/>
    <w:rsid w:val="006311B3"/>
    <w:rsid w:val="0063284C"/>
    <w:rsid w:val="00636398"/>
    <w:rsid w:val="006368D3"/>
    <w:rsid w:val="006377EC"/>
    <w:rsid w:val="0064151F"/>
    <w:rsid w:val="00641533"/>
    <w:rsid w:val="0064208D"/>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2B2"/>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5FC1"/>
    <w:rsid w:val="006A697B"/>
    <w:rsid w:val="006A7AFF"/>
    <w:rsid w:val="006B1816"/>
    <w:rsid w:val="006B2099"/>
    <w:rsid w:val="006B280D"/>
    <w:rsid w:val="006B50CF"/>
    <w:rsid w:val="006B5887"/>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2D46"/>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FE7"/>
    <w:rsid w:val="00855C21"/>
    <w:rsid w:val="00856911"/>
    <w:rsid w:val="00863C42"/>
    <w:rsid w:val="008677FD"/>
    <w:rsid w:val="008706D4"/>
    <w:rsid w:val="00870F8A"/>
    <w:rsid w:val="008719A4"/>
    <w:rsid w:val="00871D23"/>
    <w:rsid w:val="00874312"/>
    <w:rsid w:val="0087437C"/>
    <w:rsid w:val="00875CD7"/>
    <w:rsid w:val="00876B4D"/>
    <w:rsid w:val="00877F18"/>
    <w:rsid w:val="0089159B"/>
    <w:rsid w:val="008941E3"/>
    <w:rsid w:val="00894A88"/>
    <w:rsid w:val="00895386"/>
    <w:rsid w:val="00896841"/>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22C5A"/>
    <w:rsid w:val="00924B33"/>
    <w:rsid w:val="00931BD9"/>
    <w:rsid w:val="009368F3"/>
    <w:rsid w:val="00937B32"/>
    <w:rsid w:val="00941636"/>
    <w:rsid w:val="00943742"/>
    <w:rsid w:val="00945C05"/>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B1F30"/>
    <w:rsid w:val="009B2137"/>
    <w:rsid w:val="009B3AC2"/>
    <w:rsid w:val="009B4DF4"/>
    <w:rsid w:val="009B564E"/>
    <w:rsid w:val="009B5C28"/>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3143"/>
    <w:rsid w:val="00A031D8"/>
    <w:rsid w:val="00A048A8"/>
    <w:rsid w:val="00A04F49"/>
    <w:rsid w:val="00A1362C"/>
    <w:rsid w:val="00A13E54"/>
    <w:rsid w:val="00A17F63"/>
    <w:rsid w:val="00A2193B"/>
    <w:rsid w:val="00A2351A"/>
    <w:rsid w:val="00A264A9"/>
    <w:rsid w:val="00A26DCF"/>
    <w:rsid w:val="00A27785"/>
    <w:rsid w:val="00A30187"/>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61D4"/>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4DBD"/>
    <w:rsid w:val="00B45A52"/>
    <w:rsid w:val="00B46175"/>
    <w:rsid w:val="00B5116B"/>
    <w:rsid w:val="00B548B7"/>
    <w:rsid w:val="00B55E00"/>
    <w:rsid w:val="00B664C7"/>
    <w:rsid w:val="00B739F6"/>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4D2E"/>
    <w:rsid w:val="00BC7A46"/>
    <w:rsid w:val="00BD18B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B1F63"/>
    <w:rsid w:val="00CB7170"/>
    <w:rsid w:val="00CC040E"/>
    <w:rsid w:val="00CC111F"/>
    <w:rsid w:val="00CC2011"/>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0192"/>
    <w:rsid w:val="00CF1354"/>
    <w:rsid w:val="00CF1EAE"/>
    <w:rsid w:val="00CF3B1F"/>
    <w:rsid w:val="00CF3BF6"/>
    <w:rsid w:val="00CF625B"/>
    <w:rsid w:val="00CF687E"/>
    <w:rsid w:val="00CF6D96"/>
    <w:rsid w:val="00D0349B"/>
    <w:rsid w:val="00D0387B"/>
    <w:rsid w:val="00D10249"/>
    <w:rsid w:val="00D115C3"/>
    <w:rsid w:val="00D11897"/>
    <w:rsid w:val="00D13135"/>
    <w:rsid w:val="00D13E4E"/>
    <w:rsid w:val="00D22D6A"/>
    <w:rsid w:val="00D239A7"/>
    <w:rsid w:val="00D23F47"/>
    <w:rsid w:val="00D26636"/>
    <w:rsid w:val="00D36BB9"/>
    <w:rsid w:val="00D36E71"/>
    <w:rsid w:val="00D37D87"/>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23C6"/>
    <w:rsid w:val="00D8327F"/>
    <w:rsid w:val="00D86CA3"/>
    <w:rsid w:val="00D871CE"/>
    <w:rsid w:val="00D90272"/>
    <w:rsid w:val="00D9196D"/>
    <w:rsid w:val="00D92982"/>
    <w:rsid w:val="00D93D77"/>
    <w:rsid w:val="00D95A57"/>
    <w:rsid w:val="00D961C6"/>
    <w:rsid w:val="00DA2581"/>
    <w:rsid w:val="00DA305E"/>
    <w:rsid w:val="00DA4F10"/>
    <w:rsid w:val="00DA5417"/>
    <w:rsid w:val="00DA56E8"/>
    <w:rsid w:val="00DB0A9F"/>
    <w:rsid w:val="00DB377D"/>
    <w:rsid w:val="00DC2D36"/>
    <w:rsid w:val="00DC53EF"/>
    <w:rsid w:val="00DE5608"/>
    <w:rsid w:val="00DE58D0"/>
    <w:rsid w:val="00DE654F"/>
    <w:rsid w:val="00DF0B6E"/>
    <w:rsid w:val="00DF135E"/>
    <w:rsid w:val="00DF15E0"/>
    <w:rsid w:val="00DF37A0"/>
    <w:rsid w:val="00DF4C23"/>
    <w:rsid w:val="00DF66E1"/>
    <w:rsid w:val="00E015B8"/>
    <w:rsid w:val="00E110E7"/>
    <w:rsid w:val="00E11B20"/>
    <w:rsid w:val="00E17FA2"/>
    <w:rsid w:val="00E22330"/>
    <w:rsid w:val="00E307A6"/>
    <w:rsid w:val="00E30B5A"/>
    <w:rsid w:val="00E3123D"/>
    <w:rsid w:val="00E31461"/>
    <w:rsid w:val="00E31D43"/>
    <w:rsid w:val="00E32608"/>
    <w:rsid w:val="00E33943"/>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980"/>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4D2"/>
    <w:rsid w:val="00F9056A"/>
    <w:rsid w:val="00F90F8D"/>
    <w:rsid w:val="00F92782"/>
    <w:rsid w:val="00F93AA9"/>
    <w:rsid w:val="00F94B91"/>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830715D-EA70-43A1-9AB4-6B08698B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548</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(TAS)</cp:lastModifiedBy>
  <cp:revision>2</cp:revision>
  <cp:lastPrinted>2008-01-31T07:09:00Z</cp:lastPrinted>
  <dcterms:created xsi:type="dcterms:W3CDTF">2024-08-07T15:36:00Z</dcterms:created>
  <dcterms:modified xsi:type="dcterms:W3CDTF">2024-08-07T15:36:00Z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